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0.0" w:type="dxa"/>
        <w:jc w:val="left"/>
        <w:tblInd w:w="-7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55"/>
        <w:gridCol w:w="7275"/>
        <w:tblGridChange w:id="0">
          <w:tblGrid>
            <w:gridCol w:w="2955"/>
            <w:gridCol w:w="7275"/>
          </w:tblGrid>
        </w:tblGridChange>
      </w:tblGrid>
      <w:tr>
        <w:trPr>
          <w:trHeight w:val="1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spacing w:line="240" w:lineRule="auto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Case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Case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Chief Justice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Amendment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Background 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Court Ruling (include #s &amp; dissent)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Constitutional Issue &amp; Significance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Image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Related Cases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rPr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https://www.oyez.org/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Style w:val="Title"/>
      <w:rPr/>
    </w:pPr>
    <w:bookmarkStart w:colFirst="0" w:colLast="0" w:name="_wgtnmvs3n3kq" w:id="0"/>
    <w:bookmarkEnd w:id="0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Style w:val="Title"/>
      <w:jc w:val="center"/>
      <w:rPr/>
    </w:pPr>
    <w:bookmarkStart w:colFirst="0" w:colLast="0" w:name="_vvxrul91toau" w:id="1"/>
    <w:bookmarkEnd w:id="1"/>
    <w:r w:rsidDel="00000000" w:rsidR="00000000" w:rsidRPr="00000000">
      <w:rPr>
        <w:rtl w:val="0"/>
      </w:rPr>
      <w:t xml:space="preserve">Landmark Supreme Court Case Graphic Organizer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oyez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